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Morphogenesis of Galactic and Terrestrial Architectures: A Comprehensive Analysis of Evolutionary Design and Cosmological Scaffolding</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 conceptualization of architecture within the contemporary era has transcended the traditional boundaries of static construction, evolving into a multidisciplinary synthesis of biology, computation, and cosmology. This paradigm shift, often referred to as evolutionary architecture, posits that the built environment should not be viewed as a collection of inert objects but as a dynamic, living system subject to the same principles of morphogenesis, adaptation, and selection that govern the natural world. By examining highly evolved structures across scales—from the microscopic lattices of engineered living materials to the gargantuan filaments of the cosmic web—researchers have begun to uncover a unified language of form-generation that prioritizes efficiency, resilience, and systemic integration.</w:t>
      </w:r>
    </w:p>
    <w:p w:rsidR="00000000" w:rsidDel="00000000" w:rsidP="00000000" w:rsidRDefault="00000000" w:rsidRPr="00000000" w14:paraId="00000003">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Foundations of Evolutionary Biomimicry and Material Ecology</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genesis of evolutionary architecture lies in the deep study of biological systems, which have undergone approximately 3.8 billion years of iterative refinement. This historical depth provides a repository of solutions for complex engineering challenges, ranging from thermal regulation to structural optimization. Biomimicry, as defined by Janine Benyus and her contemporaries, serves as a bridge between these natural strategies and human design needs, utilizing nature as a model, measure, and mentor. The movement away from formal imitation—where a building merely looks like a biological entity—toward process emulation represents the current frontier of the field.</w:t>
      </w:r>
    </w:p>
    <w:p w:rsidR="00000000" w:rsidDel="00000000" w:rsidP="00000000" w:rsidRDefault="00000000" w:rsidRPr="00000000" w14:paraId="00000005">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Hierarchical Levels of Biological Emulation</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 systematically transfer principles from the natural world to the built environment, researchers categorize biomimetic approaches into three distinct levels: the organism, the behavior, and the ecosystem. Each level offers a different degree of systemic integration and sustainability potential.</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Level of Mimicry</w:t>
            </w:r>
          </w:p>
        </w:tc>
        <w:tc>
          <w:tcPr>
            <w:shd w:fill="auto" w:val="clear"/>
            <w:tcMar>
              <w:top w:w="0.0" w:type="dxa"/>
              <w:left w:w="0.0" w:type="dxa"/>
              <w:bottom w:w="0.0" w:type="dxa"/>
              <w:right w:w="0.0" w:type="dxa"/>
            </w:tcMar>
            <w:vAlign w:val="top"/>
          </w:tcPr>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Analytical Focus</w:t>
            </w:r>
          </w:p>
        </w:tc>
        <w:tc>
          <w:tcPr>
            <w:shd w:fill="auto" w:val="clear"/>
            <w:tcMar>
              <w:top w:w="0.0" w:type="dxa"/>
              <w:left w:w="0.0" w:type="dxa"/>
              <w:bottom w:w="0.0" w:type="dxa"/>
              <w:right w:w="0.0" w:type="dxa"/>
            </w:tcMar>
            <w:vAlign w:val="top"/>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Architectural Translation</w:t>
            </w:r>
          </w:p>
        </w:tc>
        <w:tc>
          <w:tcPr>
            <w:shd w:fill="auto" w:val="clear"/>
            <w:tcMar>
              <w:top w:w="0.0" w:type="dxa"/>
              <w:left w:w="0.0" w:type="dxa"/>
              <w:bottom w:w="0.0" w:type="dxa"/>
              <w:right w:w="0.0" w:type="dxa"/>
            </w:tcMar>
            <w:vAlign w:val="top"/>
          </w:tcPr>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Strategic Objective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Organism</w:t>
            </w:r>
          </w:p>
        </w:tc>
        <w:tc>
          <w:tcPr>
            <w:shd w:fill="auto" w:val="clear"/>
            <w:tcMar>
              <w:top w:w="0.0" w:type="dxa"/>
              <w:left w:w="0.0" w:type="dxa"/>
              <w:bottom w:w="0.0" w:type="dxa"/>
              <w:right w:w="0.0" w:type="dxa"/>
            </w:tcMar>
            <w:vAlign w:val="top"/>
          </w:tcPr>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Specific biological form or part</w:t>
            </w:r>
          </w:p>
        </w:tc>
        <w:tc>
          <w:tcPr>
            <w:shd w:fill="auto" w:val="clear"/>
            <w:tcMar>
              <w:top w:w="0.0" w:type="dxa"/>
              <w:left w:w="0.0" w:type="dxa"/>
              <w:bottom w:w="0.0" w:type="dxa"/>
              <w:right w:w="0.0" w:type="dxa"/>
            </w:tcMar>
            <w:vAlign w:val="top"/>
          </w:tcPr>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Structural lattice or shell geometry</w:t>
            </w:r>
          </w:p>
        </w:tc>
        <w:tc>
          <w:tcPr>
            <w:shd w:fill="auto" w:val="clear"/>
            <w:tcMar>
              <w:top w:w="0.0" w:type="dxa"/>
              <w:left w:w="0.0" w:type="dxa"/>
              <w:bottom w:w="0.0" w:type="dxa"/>
              <w:right w:w="0.0" w:type="dxa"/>
            </w:tcMar>
            <w:vAlign w:val="top"/>
          </w:tcPr>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Efficiency and material reduction</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Behavior</w:t>
            </w:r>
          </w:p>
        </w:tc>
        <w:tc>
          <w:tcPr>
            <w:shd w:fill="auto" w:val="clear"/>
            <w:tcMar>
              <w:top w:w="0.0" w:type="dxa"/>
              <w:left w:w="0.0" w:type="dxa"/>
              <w:bottom w:w="0.0" w:type="dxa"/>
              <w:right w:w="0.0" w:type="dxa"/>
            </w:tcMar>
            <w:vAlign w:val="top"/>
          </w:tcPr>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Biological processes and interactions</w:t>
            </w:r>
          </w:p>
        </w:tc>
        <w:tc>
          <w:tcPr>
            <w:shd w:fill="auto" w:val="clear"/>
            <w:tcMar>
              <w:top w:w="0.0" w:type="dxa"/>
              <w:left w:w="0.0" w:type="dxa"/>
              <w:bottom w:w="0.0" w:type="dxa"/>
              <w:right w:w="0.0" w:type="dxa"/>
            </w:tcMar>
            <w:vAlign w:val="top"/>
          </w:tcPr>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Passive ventilation or kinetic facades</w:t>
            </w:r>
          </w:p>
        </w:tc>
        <w:tc>
          <w:tcPr>
            <w:shd w:fill="auto" w:val="clear"/>
            <w:tcMar>
              <w:top w:w="0.0" w:type="dxa"/>
              <w:left w:w="0.0" w:type="dxa"/>
              <w:bottom w:w="0.0" w:type="dxa"/>
              <w:right w:w="0.0" w:type="dxa"/>
            </w:tcMar>
            <w:vAlign w:val="top"/>
          </w:tcPr>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Environmental responsiveness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Ecosystem</w:t>
            </w:r>
          </w:p>
        </w:tc>
        <w:tc>
          <w:tcPr>
            <w:shd w:fill="auto" w:val="clear"/>
            <w:tcMar>
              <w:top w:w="0.0" w:type="dxa"/>
              <w:left w:w="0.0" w:type="dxa"/>
              <w:bottom w:w="0.0" w:type="dxa"/>
              <w:right w:w="0.0" w:type="dxa"/>
            </w:tcMar>
            <w:vAlign w:val="top"/>
          </w:tcPr>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Interconnected natural cycles</w:t>
            </w:r>
          </w:p>
        </w:tc>
        <w:tc>
          <w:tcPr>
            <w:shd w:fill="auto" w:val="clear"/>
            <w:tcMar>
              <w:top w:w="0.0" w:type="dxa"/>
              <w:left w:w="0.0" w:type="dxa"/>
              <w:bottom w:w="0.0" w:type="dxa"/>
              <w:right w:w="0.0" w:type="dxa"/>
            </w:tcMar>
            <w:vAlign w:val="top"/>
          </w:tcPr>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Closed-loop urban systems</w:t>
            </w:r>
          </w:p>
        </w:tc>
        <w:tc>
          <w:tcPr>
            <w:shd w:fill="auto" w:val="clear"/>
            <w:tcMar>
              <w:top w:w="0.0" w:type="dxa"/>
              <w:left w:w="0.0" w:type="dxa"/>
              <w:bottom w:w="0.0" w:type="dxa"/>
              <w:right w:w="0.0" w:type="dxa"/>
            </w:tcMar>
            <w:vAlign w:val="top"/>
          </w:tcPr>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Regenerative sustainability</w:t>
            </w:r>
          </w:p>
        </w:tc>
      </w:tr>
    </w:tbl>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At the organism level, architects analyze the internal logic of a species to derive structural rules. The Gherkin (30 St Mary Axe) in London is a seminal example, drawing inspiration from the Venus Flower Basket sponge. The sponge’s lattice exoskeleton allows it to withstand high-pressure currents in the deep ocean, a principle translated by Foster + Partners into a diagonal grid that provides the building with inherent stability and reduces the need for internal supports. On a behavioral level, the focus shifts to how an organism relates to its context. This is exemplified by the Institute du Monde Arabe in Paris, where an adaptive façade mimics the dilation of the human iris to regulate thermal exposure and natural light. Finally, the ecosystem level seeks to replicate the collaborative and self-sustaining nature of entire biomes, as seen in the Bosco Verticale in Milan, which functions as a "vertical forest" that attracts biodiversity while moderating local temperatures through plant-driven shading and transpiration.</w:t>
      </w:r>
    </w:p>
    <w:p w:rsidR="00000000" w:rsidDel="00000000" w:rsidP="00000000" w:rsidRDefault="00000000" w:rsidRPr="00000000" w14:paraId="00000018">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Philosophy of Material Ecology</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 significant advancement in this field is the emergence of "Material Ecology," a design philosophy coined by Neri Oxman and the Mediated Matter Group at MIT. Material Ecology integrates computational form-finding with biologically inspired fabrication to create objects and structures that behave as if they were grown in response to their environment. This approach challenges the industrial standard of assembly—where different parts are joined together—and proposes a model of "growth" where material properties are tuned at a molecular scale to fulfill multiple functions simultaneously.</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In the Material Ecology framework, the traditional silos between biology, engineering, and computer science are dissolved. The design process begins with digital computation to decipher nature's structural lessons, which are then rendered into toolpaths for robotic fabrication or biological co-fabrication. Projects like Aguahoja demonstrate this by utilizing the molecular components of insect exoskeletons and tree branches—chitin, cellulose, and pectin—to create biopolymer composites with tunable mechanical and optical properties. These structures are "programmed" to respond to humidity and heat, and eventually, to decompose and return nutrients to the soil, fulfilling the biblical mandate of "from dust to dust" in an ecological context.</w:t>
      </w:r>
    </w:p>
    <w:p w:rsidR="00000000" w:rsidDel="00000000" w:rsidP="00000000" w:rsidRDefault="00000000" w:rsidRPr="00000000" w14:paraId="0000001B">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Swarm Intelligence and the Engineering of Invertebrate Habitats</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One of the most profound examples of highly evolved architecture in the natural world is produced not by human ingenuity, but by the collective labor of social insects. Termite mounds, particularly those of the </w:t>
      </w:r>
      <w:r w:rsidDel="00000000" w:rsidR="00000000" w:rsidRPr="00000000">
        <w:rPr>
          <w:i w:val="1"/>
          <w:iCs w:val="1"/>
          <w:rtl w:val="0"/>
        </w:rPr>
        <w:t xml:space="preserve">Macrotermes</w:t>
      </w:r>
      <w:r w:rsidDel="00000000" w:rsidR="00000000" w:rsidRPr="00000000">
        <w:rPr>
          <w:rtl w:val="0"/>
        </w:rPr>
        <w:t xml:space="preserve"> species, are masterpieces of architectural engineering that maintain stable internal microclimates despite extreme external fluctuations. These mounds function as a massive respiratory organ for the colony, facilitating oxygen exchange and thermoregulation through a decentralized, self-organizing process.</w:t>
      </w:r>
    </w:p>
    <w:p w:rsidR="00000000" w:rsidDel="00000000" w:rsidP="00000000" w:rsidRDefault="00000000" w:rsidRPr="00000000" w14:paraId="0000001D">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Thermal Regulation and Stigmergy in Termite Mounds</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internal environment of a termite mound remains remarkably stable, often hovering around 30^{\circ}C (86^{\circ}F), which is critical for the survival of the termites and their primary food source: fungus gardens. This regulation is achieved through a sophisticated network of tunnels, chimneys, and vents that exploit natural convection. As hot air rises through the central chimney, it draws cooler air in from the base and the surrounding soil, creating a continuous cycle of air movement.</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construction of these mounds does not follow a master plan; instead, it is governed by "stigmergy," a mechanism where individuals respond to environmental cues left by their predecessors. Researchers have developed models showing how external factors like daytime temperature variations drive internal airflows, carrying pheromones that signal termites to add or remove material in specific locations. This feedback loop between environmental physics and animal behavior allows for the emergence of complex, meter-sized structures from centimeter-sized insects.</w:t>
      </w:r>
    </w:p>
    <w:p w:rsidR="00000000" w:rsidDel="00000000" w:rsidP="00000000" w:rsidRDefault="00000000" w:rsidRPr="00000000" w14:paraId="00000020">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Eastgate Centre: A Case Study in Behavioral Mimicry</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Eastgate Centre in Harare, Zimbabwe, designed by architect Mick Pearce and Arup engineers, is the most celebrated human application of termite mound principles. By utilizing a passive cooling system inspired by the </w:t>
      </w:r>
      <w:r w:rsidDel="00000000" w:rsidR="00000000" w:rsidRPr="00000000">
        <w:rPr>
          <w:i w:val="1"/>
          <w:iCs w:val="1"/>
          <w:rtl w:val="0"/>
        </w:rPr>
        <w:t xml:space="preserve">Macrotermes</w:t>
      </w:r>
      <w:r w:rsidDel="00000000" w:rsidR="00000000" w:rsidRPr="00000000">
        <w:rPr>
          <w:rtl w:val="0"/>
        </w:rPr>
        <w:t xml:space="preserve"> mounds, the building consumes 90\% less energy for ventilation than traditional office blocks of the same size.</w:t>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Architectural Component</w:t>
            </w:r>
          </w:p>
        </w:tc>
        <w:tc>
          <w:tcPr>
            <w:shd w:fill="auto" w:val="clear"/>
            <w:tcMar>
              <w:top w:w="0.0" w:type="dxa"/>
              <w:left w:w="0.0" w:type="dxa"/>
              <w:bottom w:w="0.0" w:type="dxa"/>
              <w:right w:w="0.0" w:type="dxa"/>
            </w:tcMar>
            <w:vAlign w:val="top"/>
          </w:tcPr>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Termite Mound Strategy</w:t>
            </w:r>
          </w:p>
        </w:tc>
        <w:tc>
          <w:tcPr>
            <w:shd w:fill="auto" w:val="clear"/>
            <w:tcMar>
              <w:top w:w="0.0" w:type="dxa"/>
              <w:left w:w="0.0" w:type="dxa"/>
              <w:bottom w:w="0.0" w:type="dxa"/>
              <w:right w:w="0.0" w:type="dxa"/>
            </w:tcMar>
            <w:vAlign w:val="top"/>
          </w:tcPr>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Eastgate Centre Implementation</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Air Intake</w:t>
            </w:r>
          </w:p>
        </w:tc>
        <w:tc>
          <w:tcPr>
            <w:shd w:fill="auto" w:val="clear"/>
            <w:tcMar>
              <w:top w:w="0.0" w:type="dxa"/>
              <w:left w:w="0.0" w:type="dxa"/>
              <w:bottom w:w="0.0" w:type="dxa"/>
              <w:right w:w="0.0" w:type="dxa"/>
            </w:tcMar>
            <w:vAlign w:val="top"/>
          </w:tcPr>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Porous base and soil tunnels</w:t>
            </w:r>
          </w:p>
        </w:tc>
        <w:tc>
          <w:tcPr>
            <w:shd w:fill="auto" w:val="clear"/>
            <w:tcMar>
              <w:top w:w="0.0" w:type="dxa"/>
              <w:left w:w="0.0" w:type="dxa"/>
              <w:bottom w:w="0.0" w:type="dxa"/>
              <w:right w:w="0.0" w:type="dxa"/>
            </w:tcMar>
            <w:vAlign w:val="top"/>
          </w:tcPr>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Low-level floor grilles and voids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Thermal Storage</w:t>
            </w:r>
          </w:p>
        </w:tc>
        <w:tc>
          <w:tcPr>
            <w:shd w:fill="auto" w:val="clear"/>
            <w:tcMar>
              <w:top w:w="0.0" w:type="dxa"/>
              <w:left w:w="0.0" w:type="dxa"/>
              <w:bottom w:w="0.0" w:type="dxa"/>
              <w:right w:w="0.0" w:type="dxa"/>
            </w:tcMar>
            <w:vAlign w:val="top"/>
          </w:tcPr>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High thermal mass of clay walls</w:t>
            </w:r>
          </w:p>
        </w:tc>
        <w:tc>
          <w:tcPr>
            <w:shd w:fill="auto" w:val="clear"/>
            <w:tcMar>
              <w:top w:w="0.0" w:type="dxa"/>
              <w:left w:w="0.0" w:type="dxa"/>
              <w:bottom w:w="0.0" w:type="dxa"/>
              <w:right w:w="0.0" w:type="dxa"/>
            </w:tcMar>
            <w:vAlign w:val="top"/>
          </w:tcPr>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Concrete floor slabs and masonry</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Heat Extraction</w:t>
            </w:r>
          </w:p>
        </w:tc>
        <w:tc>
          <w:tcPr>
            <w:shd w:fill="auto" w:val="clear"/>
            <w:tcMar>
              <w:top w:w="0.0" w:type="dxa"/>
              <w:left w:w="0.0" w:type="dxa"/>
              <w:bottom w:w="0.0" w:type="dxa"/>
              <w:right w:w="0.0" w:type="dxa"/>
            </w:tcMar>
            <w:vAlign w:val="top"/>
          </w:tcPr>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Central vertical chimney</w:t>
            </w:r>
          </w:p>
        </w:tc>
        <w:tc>
          <w:tcPr>
            <w:shd w:fill="auto" w:val="clear"/>
            <w:tcMar>
              <w:top w:w="0.0" w:type="dxa"/>
              <w:left w:w="0.0" w:type="dxa"/>
              <w:bottom w:w="0.0" w:type="dxa"/>
              <w:right w:w="0.0" w:type="dxa"/>
            </w:tcMar>
            <w:vAlign w:val="top"/>
          </w:tcPr>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Thirty-two brick ventilation stacks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Passive Regulation</w:t>
            </w:r>
          </w:p>
        </w:tc>
        <w:tc>
          <w:tcPr>
            <w:shd w:fill="auto" w:val="clear"/>
            <w:tcMar>
              <w:top w:w="0.0" w:type="dxa"/>
              <w:left w:w="0.0" w:type="dxa"/>
              <w:bottom w:w="0.0" w:type="dxa"/>
              <w:right w:w="0.0" w:type="dxa"/>
            </w:tcMar>
            <w:vAlign w:val="top"/>
          </w:tcPr>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Convective cooling and evaporation</w:t>
            </w:r>
          </w:p>
        </w:tc>
        <w:tc>
          <w:tcPr>
            <w:shd w:fill="auto" w:val="clear"/>
            <w:tcMar>
              <w:top w:w="0.0" w:type="dxa"/>
              <w:left w:w="0.0" w:type="dxa"/>
              <w:bottom w:w="0.0" w:type="dxa"/>
              <w:right w:w="0.0" w:type="dxa"/>
            </w:tcMar>
            <w:vAlign w:val="top"/>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Night-purging of heat via fans</w:t>
            </w:r>
          </w:p>
        </w:tc>
      </w:tr>
    </w:tbl>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 building’s success lies in its ability to harness the diurnal temperature swings of the highveld. During the day, the concrete slabs and masonry walls absorb heat, preventing the interior from overheating. At night, low-energy fans draw cool air through the building, purging the stored heat and prepping the structure for the next day's thermal load. This highlights a critical insight: evolutionary architecture is often more about managing energy and information flow than about the physical form itself.</w:t>
      </w:r>
    </w:p>
    <w:p w:rsidR="00000000" w:rsidDel="00000000" w:rsidP="00000000" w:rsidRDefault="00000000" w:rsidRPr="00000000" w14:paraId="00000032">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Computational Morphogenesis and Genetic Algorithms</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As architecture moves into the digital realm, the role of the architect shifts from a designer of objects to a designer of processes. John Frazer's "An Evolutionary Architecture" pioneered the idea that architectural concepts can be expressed as generative rules, allowing forms to evolve within virtual environments through cycles of mutation and selection. This approach mirrors natural morphogenesis, where complex structures emerge from simple instructions encoded in DNA.</w:t>
      </w:r>
    </w:p>
    <w:p w:rsidR="00000000" w:rsidDel="00000000" w:rsidP="00000000" w:rsidRDefault="00000000" w:rsidRPr="00000000" w14:paraId="00000034">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L-Systems and the Growth of Digital Form</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Lindenmayer systems (L-systems), originally developed to model the growth of plants, have become a cornerstone of computational morphogenesis. These systems use a grammar of production rules to recursively rewrite strings of symbols, which can then be interpreted as 3D instructions for "growing" surfaces. Software like Genr8 allows architects to place a digital "seed" in an environment populated by attractors and repellors, mimicking how a flower bends toward sunlight or drapes over a rock.</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A key advantage of L-systems is their ability to modify an entire surface concurrently rather than sequentially. This concurrency produces organic appearances and ensures that the structure remains integrated as it expands. In these models, the "fitness" of a design is evaluated against parameters like structural load, material efficiency, and environmental performance, ensuring that only the most "adapted" forms are carried forward into subsequent iterations.</w:t>
      </w:r>
    </w:p>
    <w:p w:rsidR="00000000" w:rsidDel="00000000" w:rsidP="00000000" w:rsidRDefault="00000000" w:rsidRPr="00000000" w14:paraId="00000037">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Genetic Algorithms and the Optimization of Complexity</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Genetic Algorithms (GA) take the VSR (Variation, Selection, Reproduction) model and apply it to architectural problems with ill-defined criteria. By creating a population of candidate designs—such as variations of a building's façade or floor plan—and iterating through thousands of generations, architects can uncover unexpected and highly efficient forms.</w:t>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Optimization Parameter</w:t>
            </w:r>
          </w:p>
        </w:tc>
        <w:tc>
          <w:tcPr>
            <w:shd w:fill="auto" w:val="clear"/>
            <w:tcMar>
              <w:top w:w="0.0" w:type="dxa"/>
              <w:left w:w="0.0" w:type="dxa"/>
              <w:bottom w:w="0.0" w:type="dxa"/>
              <w:right w:w="0.0" w:type="dxa"/>
            </w:tcMar>
            <w:vAlign w:val="top"/>
          </w:tcPr>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Genetic Algorithm Process</w:t>
            </w:r>
          </w:p>
        </w:tc>
        <w:tc>
          <w:tcPr>
            <w:shd w:fill="auto" w:val="clear"/>
            <w:tcMar>
              <w:top w:w="0.0" w:type="dxa"/>
              <w:left w:w="0.0" w:type="dxa"/>
              <w:bottom w:w="0.0" w:type="dxa"/>
              <w:right w:w="0.0" w:type="dxa"/>
            </w:tcMar>
            <w:vAlign w:val="top"/>
          </w:tcPr>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Outcome Example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Structural Path</w:t>
            </w:r>
          </w:p>
        </w:tc>
        <w:tc>
          <w:tcPr>
            <w:shd w:fill="auto" w:val="clear"/>
            <w:tcMar>
              <w:top w:w="0.0" w:type="dxa"/>
              <w:left w:w="0.0" w:type="dxa"/>
              <w:bottom w:w="0.0" w:type="dxa"/>
              <w:right w:w="0.0" w:type="dxa"/>
            </w:tcMar>
            <w:vAlign w:val="top"/>
          </w:tcPr>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Iterative removal of non-load-bearing mass</w:t>
            </w:r>
          </w:p>
        </w:tc>
        <w:tc>
          <w:tcPr>
            <w:shd w:fill="auto" w:val="clear"/>
            <w:tcMar>
              <w:top w:w="0.0" w:type="dxa"/>
              <w:left w:w="0.0" w:type="dxa"/>
              <w:bottom w:w="0.0" w:type="dxa"/>
              <w:right w:w="0.0" w:type="dxa"/>
            </w:tcMar>
            <w:vAlign w:val="top"/>
          </w:tcPr>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Beijing National Stadium (Bird's Nest)</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Light Infiltration</w:t>
            </w:r>
          </w:p>
        </w:tc>
        <w:tc>
          <w:tcPr>
            <w:shd w:fill="auto" w:val="clear"/>
            <w:tcMar>
              <w:top w:w="0.0" w:type="dxa"/>
              <w:left w:w="0.0" w:type="dxa"/>
              <w:bottom w:w="0.0" w:type="dxa"/>
              <w:right w:w="0.0" w:type="dxa"/>
            </w:tcMar>
            <w:vAlign w:val="top"/>
          </w:tcPr>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Dynamic adjustment of panel opacity</w:t>
            </w:r>
          </w:p>
        </w:tc>
        <w:tc>
          <w:tcPr>
            <w:shd w:fill="auto" w:val="clear"/>
            <w:tcMar>
              <w:top w:w="0.0" w:type="dxa"/>
              <w:left w:w="0.0" w:type="dxa"/>
              <w:bottom w:w="0.0" w:type="dxa"/>
              <w:right w:w="0.0" w:type="dxa"/>
            </w:tcMar>
            <w:vAlign w:val="top"/>
          </w:tcPr>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Al Bahar Towers kinetic façade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Aerodynamics</w:t>
            </w:r>
          </w:p>
        </w:tc>
        <w:tc>
          <w:tcPr>
            <w:shd w:fill="auto" w:val="clear"/>
            <w:tcMar>
              <w:top w:w="0.0" w:type="dxa"/>
              <w:left w:w="0.0" w:type="dxa"/>
              <w:bottom w:w="0.0" w:type="dxa"/>
              <w:right w:w="0.0" w:type="dxa"/>
            </w:tcMar>
            <w:vAlign w:val="top"/>
          </w:tcPr>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Curvature refinement via wind simulation</w:t>
            </w:r>
          </w:p>
        </w:tc>
        <w:tc>
          <w:tcPr>
            <w:shd w:fill="auto" w:val="clear"/>
            <w:tcMar>
              <w:top w:w="0.0" w:type="dxa"/>
              <w:left w:w="0.0" w:type="dxa"/>
              <w:bottom w:w="0.0" w:type="dxa"/>
              <w:right w:w="0.0" w:type="dxa"/>
            </w:tcMar>
            <w:vAlign w:val="top"/>
          </w:tcPr>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Gherkin’s conical profile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Space Allocation</w:t>
            </w:r>
          </w:p>
        </w:tc>
        <w:tc>
          <w:tcPr>
            <w:shd w:fill="auto" w:val="clear"/>
            <w:tcMar>
              <w:top w:w="0.0" w:type="dxa"/>
              <w:left w:w="0.0" w:type="dxa"/>
              <w:bottom w:w="0.0" w:type="dxa"/>
              <w:right w:w="0.0" w:type="dxa"/>
            </w:tcMar>
            <w:vAlign w:val="top"/>
          </w:tcPr>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Adjacency and flow optimization</w:t>
            </w:r>
          </w:p>
        </w:tc>
        <w:tc>
          <w:tcPr>
            <w:shd w:fill="auto" w:val="clear"/>
            <w:tcMar>
              <w:top w:w="0.0" w:type="dxa"/>
              <w:left w:w="0.0" w:type="dxa"/>
              <w:bottom w:w="0.0" w:type="dxa"/>
              <w:right w:w="0.0" w:type="dxa"/>
            </w:tcMar>
            <w:vAlign w:val="top"/>
          </w:tcPr>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Edge, Amsterdam</w:t>
            </w:r>
          </w:p>
        </w:tc>
      </w:tr>
    </w:tbl>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 Beijing National Stadium is a primary example of this "computational form-finding". The stadium’s intricate steel webbing was optimized using generative algorithms to distribute loads efficiently while maintaining the aesthetic intent of a "bird's nest". Similarly, the Al Bahar Towers in Abu Dhabi utilize a computer-controlled kinetic façade that opens and closes in response to the sun's position, a solution refined through algorithmic modeling to reduce solar gain by 50\%. These examples demonstrate that highly evolved architecture is frequently characterized by a "new language of design" that transcends traditional Euclidean geometry.</w:t>
      </w:r>
    </w:p>
    <w:p w:rsidR="00000000" w:rsidDel="00000000" w:rsidP="00000000" w:rsidRDefault="00000000" w:rsidRPr="00000000" w14:paraId="00000049">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Engineered Living Materials and the Future of Bio-Fabrication</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next frontier of evolutionary architecture involves the transition from inert materials to "living" systems. Engineered Living Materials (ELMs) are composites composed of living cells embedded within a synthetic or biological matrix, designed to assemble, maintain, and repair themselves autonomously. These materials leverage the 4.5 billion years of biological evolution to introduce "smart" functional properties like self-healing and environmental sensing into the built environment.</w:t>
      </w:r>
    </w:p>
    <w:p w:rsidR="00000000" w:rsidDel="00000000" w:rsidP="00000000" w:rsidRDefault="00000000" w:rsidRPr="00000000" w14:paraId="0000004B">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Self-Healing Concrete and Bacterial Colonization</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Concrete is the most widely used man-made material, but its tendency to crack leads to significant maintenance costs and a high carbon footprint. Self-healing concrete addresses this by incorporating dormant bacteria—such as </w:t>
      </w:r>
      <w:r w:rsidDel="00000000" w:rsidR="00000000" w:rsidRPr="00000000">
        <w:rPr>
          <w:i w:val="1"/>
          <w:iCs w:val="1"/>
          <w:rtl w:val="0"/>
        </w:rPr>
        <w:t xml:space="preserve">Bacillus pseudofirmus</w:t>
      </w:r>
      <w:r w:rsidDel="00000000" w:rsidR="00000000" w:rsidRPr="00000000">
        <w:rPr>
          <w:rtl w:val="0"/>
        </w:rPr>
        <w:t xml:space="preserve">—along with nutrients into the mix. When a crack forms and water penetrates the structure, the bacteria awaken and begin to consume the provided nutrients, precipitating calcium carbonate (CaCO_3) that fills and seals the fissure.</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market for this technology is expanding rapidly, with projections reaching \$1.2 trillion by 2034. In 2025, commercial deployment advanced significantly as firms like Basilisk and Biomason integrated these biological healing agents into large-scale infrastructure projects like bridges and tunnels. This biogenic healing not only extends the lifespan of the structure but also contributes to a circular economy by reducing the need for new material extraction.</w:t>
      </w:r>
    </w:p>
    <w:p w:rsidR="00000000" w:rsidDel="00000000" w:rsidP="00000000" w:rsidRDefault="00000000" w:rsidRPr="00000000" w14:paraId="0000004E">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Mycelium-Based Architecture: Growing the Future</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Fungal mycelium has emerged as a versatile bio-composite for sustainable construction. Mycelium, the root-like structure of mushrooms, can be grown on agricultural waste products—such as sawdust, hemp, or corn stalks—to form rigid, fire-resistant, and biodegradable building blocks. Because mycelium grows at room temperature and requires very little energy, it represents a radically sustainable alternative to carbon-intensive materials like bricks or polystyrene.</w:t>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Material Property</w:t>
            </w:r>
          </w:p>
        </w:tc>
        <w:tc>
          <w:tcPr>
            <w:shd w:fill="auto" w:val="clear"/>
            <w:tcMar>
              <w:top w:w="0.0" w:type="dxa"/>
              <w:left w:w="0.0" w:type="dxa"/>
              <w:bottom w:w="0.0" w:type="dxa"/>
              <w:right w:w="0.0" w:type="dxa"/>
            </w:tcMar>
            <w:vAlign w:val="top"/>
          </w:tcPr>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Mycelium-Based Composite</w:t>
            </w:r>
          </w:p>
        </w:tc>
        <w:tc>
          <w:tcPr>
            <w:shd w:fill="auto" w:val="clear"/>
            <w:tcMar>
              <w:top w:w="0.0" w:type="dxa"/>
              <w:left w:w="0.0" w:type="dxa"/>
              <w:bottom w:w="0.0" w:type="dxa"/>
              <w:right w:w="0.0" w:type="dxa"/>
            </w:tcMar>
            <w:vAlign w:val="top"/>
          </w:tcPr>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Expanded Polystyrene (EPS)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Production Energy</w:t>
            </w:r>
          </w:p>
        </w:tc>
        <w:tc>
          <w:tcPr>
            <w:shd w:fill="auto" w:val="clear"/>
            <w:tcMar>
              <w:top w:w="0.0" w:type="dxa"/>
              <w:left w:w="0.0" w:type="dxa"/>
              <w:bottom w:w="0.0" w:type="dxa"/>
              <w:right w:w="0.0" w:type="dxa"/>
            </w:tcMar>
            <w:vAlign w:val="top"/>
          </w:tcPr>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Very Low (Grown)</w:t>
            </w:r>
          </w:p>
        </w:tc>
        <w:tc>
          <w:tcPr>
            <w:shd w:fill="auto" w:val="clear"/>
            <w:tcMar>
              <w:top w:w="0.0" w:type="dxa"/>
              <w:left w:w="0.0" w:type="dxa"/>
              <w:bottom w:w="0.0" w:type="dxa"/>
              <w:right w:w="0.0" w:type="dxa"/>
            </w:tcMar>
            <w:vAlign w:val="top"/>
          </w:tcPr>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High (Chemical/Steam)</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End-of-Life</w:t>
            </w:r>
          </w:p>
        </w:tc>
        <w:tc>
          <w:tcPr>
            <w:shd w:fill="auto" w:val="clear"/>
            <w:tcMar>
              <w:top w:w="0.0" w:type="dxa"/>
              <w:left w:w="0.0" w:type="dxa"/>
              <w:bottom w:w="0.0" w:type="dxa"/>
              <w:right w:w="0.0" w:type="dxa"/>
            </w:tcMar>
            <w:vAlign w:val="top"/>
          </w:tcPr>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Fully Biodegradable</w:t>
            </w:r>
          </w:p>
        </w:tc>
        <w:tc>
          <w:tcPr>
            <w:shd w:fill="auto" w:val="clear"/>
            <w:tcMar>
              <w:top w:w="0.0" w:type="dxa"/>
              <w:left w:w="0.0" w:type="dxa"/>
              <w:bottom w:w="0.0" w:type="dxa"/>
              <w:right w:w="0.0" w:type="dxa"/>
            </w:tcMar>
            <w:vAlign w:val="top"/>
          </w:tcPr>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Permanent Waste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Fire Resistance</w:t>
            </w:r>
          </w:p>
        </w:tc>
        <w:tc>
          <w:tcPr>
            <w:shd w:fill="auto" w:val="clear"/>
            <w:tcMar>
              <w:top w:w="0.0" w:type="dxa"/>
              <w:left w:w="0.0" w:type="dxa"/>
              <w:bottom w:w="0.0" w:type="dxa"/>
              <w:right w:w="0.0" w:type="dxa"/>
            </w:tcMar>
            <w:vAlign w:val="top"/>
          </w:tcPr>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Inherent (Charring)</w:t>
            </w:r>
          </w:p>
        </w:tc>
        <w:tc>
          <w:tcPr>
            <w:shd w:fill="auto" w:val="clear"/>
            <w:tcMar>
              <w:top w:w="0.0" w:type="dxa"/>
              <w:left w:w="0.0" w:type="dxa"/>
              <w:bottom w:w="0.0" w:type="dxa"/>
              <w:right w:w="0.0" w:type="dxa"/>
            </w:tcMar>
            <w:vAlign w:val="top"/>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Low (Highly Flammable)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Acoustic Absorption</w:t>
            </w:r>
          </w:p>
        </w:tc>
        <w:tc>
          <w:tcPr>
            <w:shd w:fill="auto" w:val="clear"/>
            <w:tcMar>
              <w:top w:w="0.0" w:type="dxa"/>
              <w:left w:w="0.0" w:type="dxa"/>
              <w:bottom w:w="0.0" w:type="dxa"/>
              <w:right w:w="0.0" w:type="dxa"/>
            </w:tcMar>
            <w:vAlign w:val="top"/>
          </w:tcPr>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High (Fibrous Matrix)</w:t>
            </w:r>
          </w:p>
        </w:tc>
        <w:tc>
          <w:tcPr>
            <w:shd w:fill="auto" w:val="clear"/>
            <w:tcMar>
              <w:top w:w="0.0" w:type="dxa"/>
              <w:left w:w="0.0" w:type="dxa"/>
              <w:bottom w:w="0.0" w:type="dxa"/>
              <w:right w:w="0.0" w:type="dxa"/>
            </w:tcMar>
            <w:vAlign w:val="top"/>
          </w:tcPr>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Moderate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Structural Strength</w:t>
            </w:r>
          </w:p>
        </w:tc>
        <w:tc>
          <w:tcPr>
            <w:shd w:fill="auto" w:val="clear"/>
            <w:tcMar>
              <w:top w:w="0.0" w:type="dxa"/>
              <w:left w:w="0.0" w:type="dxa"/>
              <w:bottom w:w="0.0" w:type="dxa"/>
              <w:right w:w="0.0" w:type="dxa"/>
            </w:tcMar>
            <w:vAlign w:val="top"/>
          </w:tcPr>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Moderate (Bending resistant)</w:t>
            </w:r>
          </w:p>
        </w:tc>
        <w:tc>
          <w:tcPr>
            <w:shd w:fill="auto" w:val="clear"/>
            <w:tcMar>
              <w:top w:w="0.0" w:type="dxa"/>
              <w:left w:w="0.0" w:type="dxa"/>
              <w:bottom w:w="0.0" w:type="dxa"/>
              <w:right w:w="0.0" w:type="dxa"/>
            </w:tcMar>
            <w:vAlign w:val="top"/>
          </w:tcPr>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Low (Compression only)</w:t>
            </w:r>
          </w:p>
        </w:tc>
      </w:tr>
    </w:tbl>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NASA’s "Mycotecture Off Planet" project is perhaps the most ambitious application of this technology. The project aims to send compact, dormant fungal structures to Mars or the Moon, where astronauts would activate them with water and nutrients to grow habitable structures in situ. These habitats would include layers of water ice for radiation protection, cyanobacteria to produce oxygen and food, and a mycelial base for structural integrity. This "turtle-shell" approach, where the habitat is grown rather than transported, significantly reduces the energy and mass requirements of space exploration.</w:t>
      </w:r>
    </w:p>
    <w:p w:rsidR="00000000" w:rsidDel="00000000" w:rsidP="00000000" w:rsidRDefault="00000000" w:rsidRPr="00000000" w14:paraId="00000063">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Neuroarchitecture and the Responsive Atmosphere</w:t>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In 2026, the intersection of neuroscience and architecture has reached a stage where buildings can respond to the psychological and physiological states of their inhabitants. Neuroarchitecture utilizes biometric sensors and AI-driven monitoring to transform static rooms into "feeling" spaces that actively promote well-being.</w:t>
      </w:r>
    </w:p>
    <w:p w:rsidR="00000000" w:rsidDel="00000000" w:rsidP="00000000" w:rsidRDefault="00000000" w:rsidRPr="00000000" w14:paraId="00000065">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Biometric Feedback Loops and Cognitive Digital Twins</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core of brain-responsive architecture is the real-time processing of biometric inputs—such as heart rate variability, EEG, eye movement, and galvanic skin response. These data points are fed into "cognitive digital twins," which are living simulations of how a person perceives and moves through a space. If the system detects high cognitive load or stress, it can trigger "micro-interventions," such as adjusting light temperature to align with circadian rhythms, shifting acoustics to reduce noise pollution, or even moving partitions to create more private or social configurations.</w:t>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This technology is particularly transformative for neurodiverse individuals and those suffering from trauma. Tools like Meta's TRIBE foundation model can predict how different brains respond to visual and auditory stimuli, allowing architects to design environments that avoid sensory overload or provide specific navigational simplicity for those with ADHD or autism. In this context, the building is no longer an inanimate shell but an active participant in the human story, a "mirror" reflecting and refining the internal states of its users.</w:t>
      </w:r>
    </w:p>
    <w:p w:rsidR="00000000" w:rsidDel="00000000" w:rsidP="00000000" w:rsidRDefault="00000000" w:rsidRPr="00000000" w14:paraId="00000068">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Speculative Architectures: The Lumen and Attention Pulse</w:t>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In the speculative domain of the "Lumen" and "Attention Pulse" universes, architecture moves entirely into the realm of light and energy. Here, structures are defined not by walls of stone but by "Lumen" signatures (bright blue) and "Pulse" waves (warm red). These environments represent a "celestial architecture" where data and monitoring govern the visual framework, and the "Void" serves as the foundational surface. This speculative vision mirrors the real-world trend toward "atmospheric architecture," where sensory variations—such as light hues and acoustic "glows"—become the primary structural elements of a space.</w:t>
      </w:r>
    </w:p>
    <w:p w:rsidR="00000000" w:rsidDel="00000000" w:rsidP="00000000" w:rsidRDefault="00000000" w:rsidRPr="00000000" w14:paraId="0000006A">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Ultimate Scaffolding: Space Megastructures and the Cosmic Web</w:t>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final frontier of evolutionary architecture extends beyond the planet, contemplating the largest structures in the universe. On a terrestrial scale, we have mastered materials and biological growth; on a cosmological scale, gravity itself becomes the architect.</w:t>
      </w:r>
    </w:p>
    <w:p w:rsidR="00000000" w:rsidDel="00000000" w:rsidP="00000000" w:rsidRDefault="00000000" w:rsidRPr="00000000" w14:paraId="0000006C">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Artificial Biospheres: O'Neill Cylinders and Stanford Tori</w:t>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colonization of space requires megastructures capable of simulating Earth-like conditions through artificial gravity. The O'Neill Cylinder, or Island Three, consists of two counter-rotating cylinders, each 8 kilometers in diameter, designed to house millions of people. By rotating at approximately 28 times per hour, the cylinder generates 1g of centrifugal force on its inner surface, creating a "valley" where residents see other cities and rivers curving overhead.</w:t>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Megastructure Type</w:t>
            </w:r>
          </w:p>
        </w:tc>
        <w:tc>
          <w:tcPr>
            <w:shd w:fill="auto" w:val="clear"/>
            <w:tcMar>
              <w:top w:w="0.0" w:type="dxa"/>
              <w:left w:w="0.0" w:type="dxa"/>
              <w:bottom w:w="0.0" w:type="dxa"/>
              <w:right w:w="0.0" w:type="dxa"/>
            </w:tcMar>
            <w:vAlign w:val="top"/>
          </w:tcPr>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Geometry</w:t>
            </w:r>
          </w:p>
        </w:tc>
        <w:tc>
          <w:tcPr>
            <w:shd w:fill="auto" w:val="clear"/>
            <w:tcMar>
              <w:top w:w="0.0" w:type="dxa"/>
              <w:left w:w="0.0" w:type="dxa"/>
              <w:bottom w:w="0.0" w:type="dxa"/>
              <w:right w:w="0.0" w:type="dxa"/>
            </w:tcMar>
            <w:vAlign w:val="top"/>
          </w:tcPr>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Gravity Mechanism</w:t>
            </w:r>
          </w:p>
        </w:tc>
        <w:tc>
          <w:tcPr>
            <w:shd w:fill="auto" w:val="clear"/>
            <w:tcMar>
              <w:top w:w="0.0" w:type="dxa"/>
              <w:left w:w="0.0" w:type="dxa"/>
              <w:bottom w:w="0.0" w:type="dxa"/>
              <w:right w:w="0.0" w:type="dxa"/>
            </w:tcMar>
            <w:vAlign w:val="top"/>
          </w:tcPr>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Primary Material Source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Bernal Sphere</w:t>
            </w:r>
          </w:p>
        </w:tc>
        <w:tc>
          <w:tcPr>
            <w:shd w:fill="auto" w:val="clear"/>
            <w:tcMar>
              <w:top w:w="0.0" w:type="dxa"/>
              <w:left w:w="0.0" w:type="dxa"/>
              <w:bottom w:w="0.0" w:type="dxa"/>
              <w:right w:w="0.0" w:type="dxa"/>
            </w:tcMar>
            <w:vAlign w:val="top"/>
          </w:tcPr>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Spherical</w:t>
            </w:r>
          </w:p>
        </w:tc>
        <w:tc>
          <w:tcPr>
            <w:shd w:fill="auto" w:val="clear"/>
            <w:tcMar>
              <w:top w:w="0.0" w:type="dxa"/>
              <w:left w:w="0.0" w:type="dxa"/>
              <w:bottom w:w="0.0" w:type="dxa"/>
              <w:right w:w="0.0" w:type="dxa"/>
            </w:tcMar>
            <w:vAlign w:val="top"/>
          </w:tcPr>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Centrifugal (equatorial)</w:t>
            </w:r>
          </w:p>
        </w:tc>
        <w:tc>
          <w:tcPr>
            <w:shd w:fill="auto" w:val="clear"/>
            <w:tcMar>
              <w:top w:w="0.0" w:type="dxa"/>
              <w:left w:w="0.0" w:type="dxa"/>
              <w:bottom w:w="0.0" w:type="dxa"/>
              <w:right w:w="0.0" w:type="dxa"/>
            </w:tcMar>
            <w:vAlign w:val="top"/>
          </w:tcPr>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Lunar regolith</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Stanford Torus</w:t>
            </w:r>
          </w:p>
        </w:tc>
        <w:tc>
          <w:tcPr>
            <w:shd w:fill="auto" w:val="clear"/>
            <w:tcMar>
              <w:top w:w="0.0" w:type="dxa"/>
              <w:left w:w="0.0" w:type="dxa"/>
              <w:bottom w:w="0.0" w:type="dxa"/>
              <w:right w:w="0.0" w:type="dxa"/>
            </w:tcMar>
            <w:vAlign w:val="top"/>
          </w:tcPr>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Toroidal</w:t>
            </w:r>
          </w:p>
        </w:tc>
        <w:tc>
          <w:tcPr>
            <w:shd w:fill="auto" w:val="clear"/>
            <w:tcMar>
              <w:top w:w="0.0" w:type="dxa"/>
              <w:left w:w="0.0" w:type="dxa"/>
              <w:bottom w:w="0.0" w:type="dxa"/>
              <w:right w:w="0.0" w:type="dxa"/>
            </w:tcMar>
            <w:vAlign w:val="top"/>
          </w:tcPr>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Centrifugal (rim-based)</w:t>
            </w:r>
          </w:p>
        </w:tc>
        <w:tc>
          <w:tcPr>
            <w:shd w:fill="auto" w:val="clear"/>
            <w:tcMar>
              <w:top w:w="0.0" w:type="dxa"/>
              <w:left w:w="0.0" w:type="dxa"/>
              <w:bottom w:w="0.0" w:type="dxa"/>
              <w:right w:w="0.0" w:type="dxa"/>
            </w:tcMar>
            <w:vAlign w:val="top"/>
          </w:tcPr>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Asteroidal ore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O'Neill Cylinder</w:t>
            </w:r>
          </w:p>
        </w:tc>
        <w:tc>
          <w:tcPr>
            <w:shd w:fill="auto" w:val="clear"/>
            <w:tcMar>
              <w:top w:w="0.0" w:type="dxa"/>
              <w:left w:w="0.0" w:type="dxa"/>
              <w:bottom w:w="0.0" w:type="dxa"/>
              <w:right w:w="0.0" w:type="dxa"/>
            </w:tcMar>
            <w:vAlign w:val="top"/>
          </w:tcPr>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Cylindrical</w:t>
            </w:r>
          </w:p>
        </w:tc>
        <w:tc>
          <w:tcPr>
            <w:shd w:fill="auto" w:val="clear"/>
            <w:tcMar>
              <w:top w:w="0.0" w:type="dxa"/>
              <w:left w:w="0.0" w:type="dxa"/>
              <w:bottom w:w="0.0" w:type="dxa"/>
              <w:right w:w="0.0" w:type="dxa"/>
            </w:tcMar>
            <w:vAlign w:val="top"/>
          </w:tcPr>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Centrifugal (counter-rotating)</w:t>
            </w:r>
          </w:p>
        </w:tc>
        <w:tc>
          <w:tcPr>
            <w:shd w:fill="auto" w:val="clear"/>
            <w:tcMar>
              <w:top w:w="0.0" w:type="dxa"/>
              <w:left w:w="0.0" w:type="dxa"/>
              <w:bottom w:w="0.0" w:type="dxa"/>
              <w:right w:w="0.0" w:type="dxa"/>
            </w:tcMar>
            <w:vAlign w:val="top"/>
          </w:tcPr>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Lunar/Asteroid mining</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Dyson Swarm</w:t>
            </w:r>
          </w:p>
        </w:tc>
        <w:tc>
          <w:tcPr>
            <w:shd w:fill="auto" w:val="clear"/>
            <w:tcMar>
              <w:top w:w="0.0" w:type="dxa"/>
              <w:left w:w="0.0" w:type="dxa"/>
              <w:bottom w:w="0.0" w:type="dxa"/>
              <w:right w:w="0.0" w:type="dxa"/>
            </w:tcMar>
            <w:vAlign w:val="top"/>
          </w:tcPr>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Modular Satellites</w:t>
            </w:r>
          </w:p>
        </w:tc>
        <w:tc>
          <w:tcPr>
            <w:shd w:fill="auto" w:val="clear"/>
            <w:tcMar>
              <w:top w:w="0.0" w:type="dxa"/>
              <w:left w:w="0.0" w:type="dxa"/>
              <w:bottom w:w="0.0" w:type="dxa"/>
              <w:right w:w="0.0" w:type="dxa"/>
            </w:tcMar>
            <w:vAlign w:val="top"/>
          </w:tcPr>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None (energy-focused)</w:t>
            </w:r>
          </w:p>
        </w:tc>
        <w:tc>
          <w:tcPr>
            <w:shd w:fill="auto" w:val="clear"/>
            <w:tcMar>
              <w:top w:w="0.0" w:type="dxa"/>
              <w:left w:w="0.0" w:type="dxa"/>
              <w:bottom w:w="0.0" w:type="dxa"/>
              <w:right w:w="0.0" w:type="dxa"/>
            </w:tcMar>
            <w:vAlign w:val="top"/>
          </w:tcPr>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Star-harvested mass</w:t>
            </w:r>
          </w:p>
        </w:tc>
      </w:tr>
    </w:tbl>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Stanford Torus, a more compact design for 10,000 to 140,000 residents, utilizes a doughnut-shaped ring connected to a central hub via spokes. These structures are designed for self-replication, with initial residents working to build the next generation of colonies using lunar materials launched by electromagnetic mass drivers. The vision here is one of total environmental control—a "tuned gravity" and "controlled climate" where humans are no longer bound by the limits of a single planet.</w:t>
      </w:r>
    </w:p>
    <w:p w:rsidR="00000000" w:rsidDel="00000000" w:rsidP="00000000" w:rsidRDefault="00000000" w:rsidRPr="00000000" w14:paraId="00000083">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Cosmic Web: Architecture of the Infinite</w:t>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Zooming out to the furthest possible extent, the universe itself reveals a highly evolved "architecture" known as the cosmic web. This structure is an interconnected network of filaments and sheets made largely of dark matter, which acts as the gravitational scaffolding for all visible matter. Galaxies are not scattered randomly but are clustered at the "nodes" where these filaments intersect.</w:t>
      </w:r>
    </w:p>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 remarkable parallel has been found between the cosmic web and the growth of single-cell slime molds. Researchers developed an algorithm that mimics a slime mold's efficiency at building nutrient-capture filaments and found it produces a map nearly identical to the distribution of cosmic filaments between galaxy clusters. This suggests that the same principles of "minimal-path" efficiency and hierarchical organization operate from the scale of a petri dish to the scale of billions of light-years.</w:t>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Cosmological Feature</w:t>
            </w:r>
          </w:p>
        </w:tc>
        <w:tc>
          <w:tcPr>
            <w:shd w:fill="auto" w:val="clear"/>
            <w:tcMar>
              <w:top w:w="0.0" w:type="dxa"/>
              <w:left w:w="0.0" w:type="dxa"/>
              <w:bottom w:w="0.0" w:type="dxa"/>
              <w:right w:w="0.0" w:type="dxa"/>
            </w:tcMar>
            <w:vAlign w:val="top"/>
          </w:tcPr>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Scale</w:t>
            </w:r>
          </w:p>
        </w:tc>
        <w:tc>
          <w:tcPr>
            <w:shd w:fill="auto" w:val="clear"/>
            <w:tcMar>
              <w:top w:w="0.0" w:type="dxa"/>
              <w:left w:w="0.0" w:type="dxa"/>
              <w:bottom w:w="0.0" w:type="dxa"/>
              <w:right w:w="0.0" w:type="dxa"/>
            </w:tcMar>
            <w:vAlign w:val="top"/>
          </w:tcPr>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Role in Cosmic Architecture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Filaments</w:t>
            </w:r>
          </w:p>
        </w:tc>
        <w:tc>
          <w:tcPr>
            <w:shd w:fill="auto" w:val="clear"/>
            <w:tcMar>
              <w:top w:w="0.0" w:type="dxa"/>
              <w:left w:w="0.0" w:type="dxa"/>
              <w:bottom w:w="0.0" w:type="dxa"/>
              <w:right w:w="0.0" w:type="dxa"/>
            </w:tcMar>
            <w:vAlign w:val="top"/>
          </w:tcPr>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50-80 Megaparsecs</w:t>
            </w:r>
          </w:p>
        </w:tc>
        <w:tc>
          <w:tcPr>
            <w:shd w:fill="auto" w:val="clear"/>
            <w:tcMar>
              <w:top w:w="0.0" w:type="dxa"/>
              <w:left w:w="0.0" w:type="dxa"/>
              <w:bottom w:w="0.0" w:type="dxa"/>
              <w:right w:w="0.0" w:type="dxa"/>
            </w:tcMar>
            <w:vAlign w:val="top"/>
          </w:tcPr>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Pathways for matter/momentum flow</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Voids</w:t>
            </w:r>
          </w:p>
        </w:tc>
        <w:tc>
          <w:tcPr>
            <w:shd w:fill="auto" w:val="clear"/>
            <w:tcMar>
              <w:top w:w="0.0" w:type="dxa"/>
              <w:left w:w="0.0" w:type="dxa"/>
              <w:bottom w:w="0.0" w:type="dxa"/>
              <w:right w:w="0.0" w:type="dxa"/>
            </w:tcMar>
            <w:vAlign w:val="top"/>
          </w:tcPr>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30-150 Megaparsecs</w:t>
            </w:r>
          </w:p>
        </w:tc>
        <w:tc>
          <w:tcPr>
            <w:shd w:fill="auto" w:val="clear"/>
            <w:tcMar>
              <w:top w:w="0.0" w:type="dxa"/>
              <w:left w:w="0.0" w:type="dxa"/>
              <w:bottom w:w="0.0" w:type="dxa"/>
              <w:right w:w="0.0" w:type="dxa"/>
            </w:tcMar>
            <w:vAlign w:val="top"/>
          </w:tcPr>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Bubbles separating the "soapy" matter</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Superclusters</w:t>
            </w:r>
          </w:p>
        </w:tc>
        <w:tc>
          <w:tcPr>
            <w:shd w:fill="auto" w:val="clear"/>
            <w:tcMar>
              <w:top w:w="0.0" w:type="dxa"/>
              <w:left w:w="0.0" w:type="dxa"/>
              <w:bottom w:w="0.0" w:type="dxa"/>
              <w:right w:w="0.0" w:type="dxa"/>
            </w:tcMar>
            <w:vAlign w:val="top"/>
          </w:tcPr>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Millions of light-years</w:t>
            </w:r>
          </w:p>
        </w:tc>
        <w:tc>
          <w:tcPr>
            <w:shd w:fill="auto" w:val="clear"/>
            <w:tcMar>
              <w:top w:w="0.0" w:type="dxa"/>
              <w:left w:w="0.0" w:type="dxa"/>
              <w:bottom w:w="0.0" w:type="dxa"/>
              <w:right w:w="0.0" w:type="dxa"/>
            </w:tcMar>
            <w:vAlign w:val="top"/>
          </w:tcPr>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Massive nodes of high density</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Giant Arc / Big Ring</w:t>
            </w:r>
          </w:p>
        </w:tc>
        <w:tc>
          <w:tcPr>
            <w:shd w:fill="auto" w:val="clear"/>
            <w:tcMar>
              <w:top w:w="0.0" w:type="dxa"/>
              <w:left w:w="0.0" w:type="dxa"/>
              <w:bottom w:w="0.0" w:type="dxa"/>
              <w:right w:w="0.0" w:type="dxa"/>
            </w:tcMar>
            <w:vAlign w:val="top"/>
          </w:tcPr>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Billions of light-years</w:t>
            </w:r>
          </w:p>
        </w:tc>
        <w:tc>
          <w:tcPr>
            <w:shd w:fill="auto" w:val="clear"/>
            <w:tcMar>
              <w:top w:w="0.0" w:type="dxa"/>
              <w:left w:w="0.0" w:type="dxa"/>
              <w:bottom w:w="0.0" w:type="dxa"/>
              <w:right w:w="0.0" w:type="dxa"/>
            </w:tcMar>
            <w:vAlign w:val="top"/>
          </w:tcPr>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Anomalous large-scale structures</w:t>
            </w:r>
          </w:p>
        </w:tc>
      </w:tr>
    </w:tbl>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Recent observations in 2025 have identified some of the largest rotating structures ever found: galactic filaments 140 million light-years long where galaxies spin in synchronization with the entire structure. These "spinning highways" demonstrate that rotation and angular momentum flow through the cosmic web, influencing the very star formation and morphology of the galaxies they contain. This represents the ultimate manifestation of evolutionary architecture: a system where the "blueprint" is written in the laws of physics and the "building" is the universe itself.</w:t>
      </w:r>
    </w:p>
    <w:p w:rsidR="00000000" w:rsidDel="00000000" w:rsidP="00000000" w:rsidRDefault="00000000" w:rsidRPr="00000000" w14:paraId="00000096">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Synthesis and Inter-Scale Conclusions</w:t>
      </w:r>
    </w:p>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investigation of highly evolved architectural forms reveals a deep, underlying unity across diverse domains. Whether observing the self-healing properties of a bacteria-infused concrete slab, the metabolic regulation of a termite mound, or the gravitational collapse of dark matter into cosmic filaments, the recurrent themes are adaptation, information-driven form, and efficiency.</w:t>
      </w:r>
    </w:p>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The shift from "making" to "growing"—and from "static" to "responsive"—marks the end of the industrial architectural era and the beginning of the evolutionary one. In this new paradigm, the role of the human designer is to catalyze the natural processes of self-organization, providing the "seed" and the "environment" while allowing the system to find its own optimal expression. As we move toward 2030 and beyond, the integration of living systems, neuro-adaptive interfaces, and space-scale engineering will redefine what it means to build, suggesting a future where our habitats are as alive and interconnected as the cosmos that cradles them.</w:t>
      </w:r>
    </w:p>
    <w:p w:rsidR="00000000" w:rsidDel="00000000" w:rsidP="00000000" w:rsidRDefault="00000000" w:rsidRPr="00000000" w14:paraId="00000099">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Geciteerd werk</w:t>
      </w:r>
    </w:p>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rtl w:val="0"/>
        </w:rPr>
        <w:t xml:space="preserve">1. An Evolutionary Architecture | PDF | Evolution | Ecology - Scribd, https://www.scribd.com/document/39485615/An-Evolutionary-Architecture 2. an evolutionary architecture - WordPress.com, https://syntheticformations.files.wordpress.com/2012/09/00_intro.pdf 3. Plants Inspired Biomimetics Architecture in Modern Buildings: A Review of Form, Function and Energy - MDPI, https://www.mdpi.com/2313-7673/10/2/124 4. Mapping the Cosmic Web - NASA Science, https://science.nasa.gov/mission/hubble/science/science-highlights/mapping-the-cosmic-web/ 5. Engineered Living Materials: Prospects and Challenges for Using Biological Systems to Direct the Assembly of Smart Materials - PMC, https://pmc.ncbi.nlm.nih.gov/articles/PMC6309613/ 6. Biomimicry as a Sustainable Design Methodology—Introducing the 'Biomimicry for Sustainability' Framework - PMC, https://pmc.ncbi.nlm.nih.gov/articles/PMC9036301/ 7. Biomimetic architecture - Wikipedia, https://en.wikipedia.org/wiki/Biomimetic_architecture 8. Biomimicry: Designing to Model Nature | WBDG, https://www.wbdg.org/resources/biomimicry-designing-model-nature 9. Biomimetic architecture: five iconic works inspired by nature - Connections By Finsa, https://www.connectionsbyfinsa.com/biomimetic-architecture/?lang=en 10. 10 Stunning Examples of Biomimicry in Architecture - RTF - Rethinking The Future, https://www.re-thinkingthefuture.com/rtf-fresh-perspectives/stunning-examples-of-biomimicry-in-architecture/ 11. Biomimicry in Design: 7 Incredible Buildings Inspired by Nature | ABI Interiors UK, https://www.abiinteriors.co.uk/the-interior-edit/biomimicry-in-design-7-incredible-buildings-inspired-by-nature/ 12. NERI OXMAN MATERIAL ECOLOGY - MoMA, https://www.moma.org/d/pdfs/W1siZiIsIjIwMjAvMDMvMTgvN3h0aTB0ZDIwZV9Nb01BX094bWFuX1BSRVZJRVcucGRmIl1d/MoMA%20Oxman%20PREVIEW.pdf?sha=b9de8a989ee0332c 13. Neri Oxman's “Material Ecology” – TLmagazine, https://tlmagazine.com/neri-oxmans-material-ecology/ 14. Overview ‹ Aguahoja - MIT Media Lab, https://www.media.mit.edu/projects/aguahoja/overview/ 15. Neri Oxman: Material Ecology - Ala Champ Magazine, https://champ-magazine.com/design/neri-oxman-material-ecology/ 16. Overview ‹ Aguahoja III - MIT Media Lab, https://www.media.mit.edu/projects/aguahoja-iii/overview/ 17. Termite mound architecture and climate control: a review of X-ray tomography and flow field simulation approaches - PMC, https://pmc.ncbi.nlm.nih.gov/articles/PMC12539963/ 18. Architects Look to Termite Mounds to Improve Building Ventilation - LVI Associates, https://www.lviassociates.com/en-us/industry-insights/hiring-advice/architects-look-to-termite-mounds-to-improve-building-ventilation 19. The Promise of Biomimicry: When Buildings Breathe Like Termite Mounds | Atmos, https://atmos.earth/climate-solutions/the-promise-of-biomimicry-when-buildings-breathe-like-termite-mounds/ 20. How termite mounds get their shape - Harvard School of Engineering and Applied Sciences, https://seas.harvard.edu/news/how-termite-mounds-get-their-shape 21. The Top 10 Real World Examples of Biomimicry in Architecture, https://www.learnbiomimicry.com/blog/top-10-biomimicry-examples-architecture 22. Cumincad : CUMINCAD Papers : Search Results, https://papers.cumincad.org/cgi-bin/works/SearchToFrameL?search=%2B1995%20An%20evolutionary%20architecture&amp;format=LONG&amp;&amp;first=0 23. Exploring generative growth and evolutionary computation in architectural design - MIT CSAIL, https://projects.csail.mit.edu/emergentDesign/genr8/hemberg_chap.pdf 24. Evolutionary Computing in The Architectural Design Process | spatial experiments, https://spatialexperiments.wordpress.com/2016/09/18/evolutionary-computing-in-the-architectural-design-process/ 25. Generative Algorithms in Architecture: Pushing Creative Boundaries - RealSpace 3D, https://www.realspace3d.com/blog/generative-algorithms-in-architecture-pushing-creative-boundaries/ 26. EVOLUTIONARY ALGORITHMS IN ARCHITECTURE - Fraunhofer IRB, https://www.irbnet.de/daten/iconda/CIB17988.pdf 27. Evolutionary Algorithms: When Nature's Sloppy Methods Outperform Clever Engineering, https://www.reddit.com/r/DebateEvolution/comments/1lwqlq4/evolutionary_algorithms_when_natures_sloppy/ 28. 20 Generative Design Examples Transforming Modern Architecture - Novatr, https://blog.novatr.com/blog/20-generative-design-examples-transforming-modern-architecture 29. Engineered Living Materials (ELMs) for the Built Environment, https://www.acsa-arch.org/proceedings/Annual%20Meeting%20Proceedings/ACSA.AM.112/ACSA.AM.112.4.pdf 30. Self-Healing Concrete Market Set to Hit USD 4238.55 Billion by 2035, Driven by Demand for Durable and Sustainable Construction Materials | Research by SNS Insider - GlobeNewswire, https://www.globenewswire.com/news-release/2026/03/04/3249060/0/en/Self-Healing-Concrete-Market-Set-to-Hit-USD-4-238-55-Billion-by-2035-Driven-by-Demand-for-Durable-and-Sustainable-Construction-Materials-Research-by-SNS-Insider.html 31. Advancements and Applications of Self-Healing Concrete for Sustainable Infrastructure - EPJ Web of Conferences, https://www.epj-conferences.org/articles/epjconf/pdf/2026/11/epjconf_staaar2026_05005.pdf 32. Could Self-Healing Concrete Reshape Global Construction?, https://constructiondigital.com/news/self-healing-concrete-global-construction 33. Self-Healing Concrete Market Size &amp; Share, Statistics Report 2025-2034, https://www.gminsights.com/industry-analysis/self-healing-concrete-market 34. Mycelium-based blocks could be the future of construction - UTS, https://www.uts.edu.au/news/2025/12/mycelium-based-blocks-could-be-the-future 35. A Review of Mycelium-Based Composites in Architectural and Design Applications - MDPI, https://www.mdpi.com/2071-1050/17/24/11350 36. Mycelium Architecture: From NASA's Mars Homes to Living Buildings - Lambda Biologics, https://afs.lambda-bio.com/blog/mycelium-architecture-from-nasas-mars-homes-to-living-buildings/ 37. How space explorers could grow habitats from fungus - The Planetary Society, https://www.planetary.org/articles/how-space-explorers-could-grow-habitats-from-fungus 38. NASA Grows the Future: Mycelium-Based Habitats for Earth and Beyond - MaterialDistrict, https://materialdistrict.com/article/nasa-grows-the-future-mycelium-based-habitats-for-earth-and-beyond/ 39. Moon 'shrooms? Fungi eyed to help build lunar bases and Mars outposts | Space, https://www.space.com/nasa-fungus-moon-mars-bases-niac-technology.html 40. Neuroarchitecture: Using Brain Science to Boost Property Value - Vision Constructors, https://vision-constructors.com/real-estate/neuroarchitecture-in-real-estate-how-brain-science-is-increasing-property-value-in-2026 41. NEUROARCHITECTURE 2026: TECHNOLOGY AND MEANING | by ..., https://medium.com/@xtarkdesign/neuroarchitecture-2026-technology-and-meaning-d4cfafb4b613 42. The rise of brain-responsive architecture | Meer, https://www.meer.com/en/93746-the-rise-of-brain-responsive-architecture 43. The brain has a new mirror. We should probably ask who's holding it. | by Jensui - Medium, https://medium.com/@jensui/the-brain-has-a-new-mirror-we-should-probably-ask-whos-holding-it-e9ea8f4f1497 44. Large-Scale Structure - Dark Energy Survey, https://www.darkenergysurvey.org/supporting-science/large-scale-structure/ 45. O'Neill cylinder - Wikipedia, https://en.wikipedia.org/wiki/O%27Neill_cylinder 46. Space Megastructures for Colonization: Possibilities and Realities | by Avinash Saravanan （アビナッシュ・サラバナン） | Medium, https://medium.com/@asarav/space-megastructures-for-colonization-possibilities-and-realities-31d485f85598 47. O'Neill Cylinder: Space Colonies for Millions - OnOff.gr, https://www.onoff.gr/blog/en/future/o-neill-cylinder-space-colonies-for-millions/ 48. Stanford torus - Wikipedia, https://en.wikipedia.org/wiki/Stanford_torus 49. Stanford Torus Cutaway - RTF - Rethinking The Future, https://www.re-thinkingthefuture.com/architectural-community/a9965-stanford-torus-cutaway/ 50. Meet The Cosmic Web – The Largest Structure In The Universe | IFLScience, https://www.iflscience.com/meet-the-cosmic-web-the-largest-structure-in-the-universe-75738 51. Large Scale Structures - NASA Science, https://science.nasa.gov/universe/galaxies/large-scale-structures/ 52. Large-scale structure of the universe - Wikipedia, https://en.wikipedia.org/wiki/Large-scale_structure_of_the_universe 53. Astronomers spot one of the largest spinning structures ever found in the Universe, https://www.ox.ac.uk/news/2025-12-04-astronomers-spot-one-largest-spinning-structures-ever-found-universe-0 54. Astronomers discover one of the Universe's largest spinning structures | ScienceDaily, https://www.sciencedaily.com/releases/2025/12/251225080729.htm</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